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F1" w:rsidRDefault="006C49F1" w:rsidP="006C49F1">
      <w:pPr>
        <w:jc w:val="both"/>
        <w:rPr>
          <w:rFonts w:ascii="Times New Roman" w:hAnsi="Times New Roman" w:cs="Times New Roman"/>
          <w:sz w:val="24"/>
          <w:szCs w:val="24"/>
        </w:rPr>
      </w:pPr>
    </w:p>
    <w:p w:rsidR="006C49F1" w:rsidRPr="006C49F1" w:rsidRDefault="006C49F1" w:rsidP="006C49F1">
      <w:pPr>
        <w:jc w:val="center"/>
        <w:rPr>
          <w:rFonts w:ascii="Times New Roman" w:hAnsi="Times New Roman" w:cs="Times New Roman"/>
          <w:b/>
          <w:sz w:val="32"/>
          <w:szCs w:val="32"/>
        </w:rPr>
      </w:pPr>
      <w:r w:rsidRPr="006C49F1">
        <w:rPr>
          <w:rFonts w:ascii="Times New Roman" w:hAnsi="Times New Roman" w:cs="Times New Roman"/>
          <w:b/>
          <w:sz w:val="32"/>
          <w:szCs w:val="32"/>
        </w:rPr>
        <w:t>PEST analysis</w:t>
      </w:r>
    </w:p>
    <w:p w:rsidR="00293B6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PEST analysis (political, economic, socio-cultural and technological) describes a framework of macro-environmental factors used in the </w:t>
      </w:r>
      <w:hyperlink r:id="rId5" w:tooltip="Environmental scanning" w:history="1">
        <w:r w:rsidRPr="006C49F1">
          <w:rPr>
            <w:rStyle w:val="Hyperlink"/>
            <w:rFonts w:ascii="Times New Roman" w:hAnsi="Times New Roman" w:cs="Times New Roman"/>
            <w:color w:val="auto"/>
            <w:sz w:val="24"/>
            <w:szCs w:val="24"/>
            <w:u w:val="none"/>
          </w:rPr>
          <w:t>environmental scanning</w:t>
        </w:r>
      </w:hyperlink>
      <w:r w:rsidRPr="006C49F1">
        <w:rPr>
          <w:rFonts w:ascii="Times New Roman" w:hAnsi="Times New Roman" w:cs="Times New Roman"/>
          <w:sz w:val="24"/>
          <w:szCs w:val="24"/>
        </w:rPr>
        <w:t> component of </w:t>
      </w:r>
      <w:hyperlink r:id="rId6" w:tooltip="Strategic management" w:history="1">
        <w:r w:rsidRPr="006C49F1">
          <w:rPr>
            <w:rStyle w:val="Hyperlink"/>
            <w:rFonts w:ascii="Times New Roman" w:hAnsi="Times New Roman" w:cs="Times New Roman"/>
            <w:color w:val="auto"/>
            <w:sz w:val="24"/>
            <w:szCs w:val="24"/>
            <w:u w:val="none"/>
          </w:rPr>
          <w:t>strategic management</w:t>
        </w:r>
      </w:hyperlink>
      <w:r w:rsidRPr="006C49F1">
        <w:rPr>
          <w:rFonts w:ascii="Times New Roman" w:hAnsi="Times New Roman" w:cs="Times New Roman"/>
          <w:sz w:val="24"/>
          <w:szCs w:val="24"/>
        </w:rPr>
        <w:t>. It is part of an external analysis when conducting a strategic analysis or doing </w:t>
      </w:r>
      <w:hyperlink r:id="rId7" w:tooltip="Market research" w:history="1">
        <w:r w:rsidRPr="006C49F1">
          <w:rPr>
            <w:rStyle w:val="Hyperlink"/>
            <w:rFonts w:ascii="Times New Roman" w:hAnsi="Times New Roman" w:cs="Times New Roman"/>
            <w:color w:val="auto"/>
            <w:sz w:val="24"/>
            <w:szCs w:val="24"/>
            <w:u w:val="none"/>
          </w:rPr>
          <w:t>market research</w:t>
        </w:r>
      </w:hyperlink>
      <w:r w:rsidRPr="006C49F1">
        <w:rPr>
          <w:rFonts w:ascii="Times New Roman" w:hAnsi="Times New Roman" w:cs="Times New Roman"/>
          <w:sz w:val="24"/>
          <w:szCs w:val="24"/>
        </w:rPr>
        <w:t>, and gives an overview of the different macro-environmental factors to be taken into consideration. It is a strategic tool for understanding market growth or decline, business position, potential and direction for operations.</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The basic PEST analysis includes four factors:</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Political factors relate to how the </w:t>
      </w:r>
      <w:hyperlink r:id="rId8" w:tooltip="Government" w:history="1">
        <w:r w:rsidRPr="006C49F1">
          <w:rPr>
            <w:rStyle w:val="Hyperlink"/>
            <w:rFonts w:ascii="Times New Roman" w:hAnsi="Times New Roman" w:cs="Times New Roman"/>
            <w:color w:val="auto"/>
            <w:sz w:val="24"/>
            <w:szCs w:val="24"/>
            <w:u w:val="none"/>
          </w:rPr>
          <w:t>government</w:t>
        </w:r>
      </w:hyperlink>
      <w:r w:rsidRPr="006C49F1">
        <w:rPr>
          <w:rFonts w:ascii="Times New Roman" w:hAnsi="Times New Roman" w:cs="Times New Roman"/>
          <w:sz w:val="24"/>
          <w:szCs w:val="24"/>
        </w:rPr>
        <w:t> intervenes in the economy. Specifically, political factors have areas including </w:t>
      </w:r>
      <w:hyperlink r:id="rId9" w:tooltip="Tax policy" w:history="1">
        <w:r w:rsidRPr="006C49F1">
          <w:rPr>
            <w:rStyle w:val="Hyperlink"/>
            <w:rFonts w:ascii="Times New Roman" w:hAnsi="Times New Roman" w:cs="Times New Roman"/>
            <w:color w:val="auto"/>
            <w:sz w:val="24"/>
            <w:szCs w:val="24"/>
            <w:u w:val="none"/>
          </w:rPr>
          <w:t>tax policy</w:t>
        </w:r>
      </w:hyperlink>
      <w:r w:rsidRPr="006C49F1">
        <w:rPr>
          <w:rFonts w:ascii="Times New Roman" w:hAnsi="Times New Roman" w:cs="Times New Roman"/>
          <w:sz w:val="24"/>
          <w:szCs w:val="24"/>
        </w:rPr>
        <w:t>, </w:t>
      </w:r>
      <w:proofErr w:type="spellStart"/>
      <w:r w:rsidRPr="006C49F1">
        <w:rPr>
          <w:rFonts w:ascii="Times New Roman" w:hAnsi="Times New Roman" w:cs="Times New Roman"/>
          <w:sz w:val="24"/>
          <w:szCs w:val="24"/>
        </w:rPr>
        <w:fldChar w:fldCharType="begin"/>
      </w:r>
      <w:r w:rsidRPr="006C49F1">
        <w:rPr>
          <w:rFonts w:ascii="Times New Roman" w:hAnsi="Times New Roman" w:cs="Times New Roman"/>
          <w:sz w:val="24"/>
          <w:szCs w:val="24"/>
        </w:rPr>
        <w:instrText xml:space="preserve"> HYPERLINK "https://en.wikipedia.org/wiki/Labour_law" \o "Labour law" </w:instrText>
      </w:r>
      <w:r w:rsidRPr="006C49F1">
        <w:rPr>
          <w:rFonts w:ascii="Times New Roman" w:hAnsi="Times New Roman" w:cs="Times New Roman"/>
          <w:sz w:val="24"/>
          <w:szCs w:val="24"/>
        </w:rPr>
        <w:fldChar w:fldCharType="separate"/>
      </w:r>
      <w:r w:rsidRPr="006C49F1">
        <w:rPr>
          <w:rStyle w:val="Hyperlink"/>
          <w:rFonts w:ascii="Times New Roman" w:hAnsi="Times New Roman" w:cs="Times New Roman"/>
          <w:color w:val="auto"/>
          <w:sz w:val="24"/>
          <w:szCs w:val="24"/>
          <w:u w:val="none"/>
        </w:rPr>
        <w:t>labour</w:t>
      </w:r>
      <w:proofErr w:type="spellEnd"/>
      <w:r w:rsidRPr="006C49F1">
        <w:rPr>
          <w:rStyle w:val="Hyperlink"/>
          <w:rFonts w:ascii="Times New Roman" w:hAnsi="Times New Roman" w:cs="Times New Roman"/>
          <w:color w:val="auto"/>
          <w:sz w:val="24"/>
          <w:szCs w:val="24"/>
          <w:u w:val="none"/>
        </w:rPr>
        <w:t xml:space="preserve"> law</w:t>
      </w:r>
      <w:r w:rsidRPr="006C49F1">
        <w:rPr>
          <w:rFonts w:ascii="Times New Roman" w:hAnsi="Times New Roman" w:cs="Times New Roman"/>
          <w:sz w:val="24"/>
          <w:szCs w:val="24"/>
        </w:rPr>
        <w:fldChar w:fldCharType="end"/>
      </w:r>
      <w:r w:rsidRPr="006C49F1">
        <w:rPr>
          <w:rFonts w:ascii="Times New Roman" w:hAnsi="Times New Roman" w:cs="Times New Roman"/>
          <w:sz w:val="24"/>
          <w:szCs w:val="24"/>
        </w:rPr>
        <w:t>, </w:t>
      </w:r>
      <w:hyperlink r:id="rId10" w:tooltip="Environmental law" w:history="1">
        <w:r w:rsidRPr="006C49F1">
          <w:rPr>
            <w:rStyle w:val="Hyperlink"/>
            <w:rFonts w:ascii="Times New Roman" w:hAnsi="Times New Roman" w:cs="Times New Roman"/>
            <w:color w:val="auto"/>
            <w:sz w:val="24"/>
            <w:szCs w:val="24"/>
            <w:u w:val="none"/>
          </w:rPr>
          <w:t>environmental law</w:t>
        </w:r>
      </w:hyperlink>
      <w:r w:rsidRPr="006C49F1">
        <w:rPr>
          <w:rFonts w:ascii="Times New Roman" w:hAnsi="Times New Roman" w:cs="Times New Roman"/>
          <w:sz w:val="24"/>
          <w:szCs w:val="24"/>
        </w:rPr>
        <w:t>, </w:t>
      </w:r>
      <w:hyperlink r:id="rId11" w:tooltip="Trade restriction" w:history="1">
        <w:r w:rsidRPr="006C49F1">
          <w:rPr>
            <w:rStyle w:val="Hyperlink"/>
            <w:rFonts w:ascii="Times New Roman" w:hAnsi="Times New Roman" w:cs="Times New Roman"/>
            <w:color w:val="auto"/>
            <w:sz w:val="24"/>
            <w:szCs w:val="24"/>
            <w:u w:val="none"/>
          </w:rPr>
          <w:t>trade restrictions</w:t>
        </w:r>
      </w:hyperlink>
      <w:r w:rsidRPr="006C49F1">
        <w:rPr>
          <w:rFonts w:ascii="Times New Roman" w:hAnsi="Times New Roman" w:cs="Times New Roman"/>
          <w:sz w:val="24"/>
          <w:szCs w:val="24"/>
        </w:rPr>
        <w:t>, </w:t>
      </w:r>
      <w:hyperlink r:id="rId12" w:tooltip="Tariffs" w:history="1">
        <w:r w:rsidRPr="006C49F1">
          <w:rPr>
            <w:rStyle w:val="Hyperlink"/>
            <w:rFonts w:ascii="Times New Roman" w:hAnsi="Times New Roman" w:cs="Times New Roman"/>
            <w:color w:val="auto"/>
            <w:sz w:val="24"/>
            <w:szCs w:val="24"/>
            <w:u w:val="none"/>
          </w:rPr>
          <w:t>tariffs</w:t>
        </w:r>
      </w:hyperlink>
      <w:r w:rsidRPr="006C49F1">
        <w:rPr>
          <w:rFonts w:ascii="Times New Roman" w:hAnsi="Times New Roman" w:cs="Times New Roman"/>
          <w:sz w:val="24"/>
          <w:szCs w:val="24"/>
        </w:rPr>
        <w:t>, and political stability. Political factors may also include goods and services which the government aims to provide or be provided (</w:t>
      </w:r>
      <w:hyperlink r:id="rId13" w:tooltip="Merit good" w:history="1">
        <w:r w:rsidRPr="006C49F1">
          <w:rPr>
            <w:rStyle w:val="Hyperlink"/>
            <w:rFonts w:ascii="Times New Roman" w:hAnsi="Times New Roman" w:cs="Times New Roman"/>
            <w:color w:val="auto"/>
            <w:sz w:val="24"/>
            <w:szCs w:val="24"/>
            <w:u w:val="none"/>
          </w:rPr>
          <w:t>merit goods</w:t>
        </w:r>
      </w:hyperlink>
      <w:r w:rsidRPr="006C49F1">
        <w:rPr>
          <w:rFonts w:ascii="Times New Roman" w:hAnsi="Times New Roman" w:cs="Times New Roman"/>
          <w:sz w:val="24"/>
          <w:szCs w:val="24"/>
        </w:rPr>
        <w:t>) and those that the government does not want to be provided (</w:t>
      </w:r>
      <w:hyperlink r:id="rId14" w:tooltip="Demerit good" w:history="1">
        <w:r w:rsidRPr="006C49F1">
          <w:rPr>
            <w:rStyle w:val="Hyperlink"/>
            <w:rFonts w:ascii="Times New Roman" w:hAnsi="Times New Roman" w:cs="Times New Roman"/>
            <w:color w:val="auto"/>
            <w:sz w:val="24"/>
            <w:szCs w:val="24"/>
            <w:u w:val="none"/>
          </w:rPr>
          <w:t>demerit goods</w:t>
        </w:r>
      </w:hyperlink>
      <w:r w:rsidRPr="006C49F1">
        <w:rPr>
          <w:rFonts w:ascii="Times New Roman" w:hAnsi="Times New Roman" w:cs="Times New Roman"/>
          <w:sz w:val="24"/>
          <w:szCs w:val="24"/>
        </w:rPr>
        <w:t xml:space="preserve"> or merit </w:t>
      </w:r>
      <w:proofErr w:type="spellStart"/>
      <w:r w:rsidRPr="006C49F1">
        <w:rPr>
          <w:rFonts w:ascii="Times New Roman" w:hAnsi="Times New Roman" w:cs="Times New Roman"/>
          <w:sz w:val="24"/>
          <w:szCs w:val="24"/>
        </w:rPr>
        <w:t>bads</w:t>
      </w:r>
      <w:proofErr w:type="spellEnd"/>
      <w:r w:rsidRPr="006C49F1">
        <w:rPr>
          <w:rFonts w:ascii="Times New Roman" w:hAnsi="Times New Roman" w:cs="Times New Roman"/>
          <w:sz w:val="24"/>
          <w:szCs w:val="24"/>
        </w:rPr>
        <w:t>). Furthermore, governments have a high impact on the </w:t>
      </w:r>
      <w:hyperlink r:id="rId15" w:tooltip="Health" w:history="1">
        <w:r w:rsidRPr="006C49F1">
          <w:rPr>
            <w:rStyle w:val="Hyperlink"/>
            <w:rFonts w:ascii="Times New Roman" w:hAnsi="Times New Roman" w:cs="Times New Roman"/>
            <w:color w:val="auto"/>
            <w:sz w:val="24"/>
            <w:szCs w:val="24"/>
            <w:u w:val="none"/>
          </w:rPr>
          <w:t>health</w:t>
        </w:r>
      </w:hyperlink>
      <w:r w:rsidRPr="006C49F1">
        <w:rPr>
          <w:rFonts w:ascii="Times New Roman" w:hAnsi="Times New Roman" w:cs="Times New Roman"/>
          <w:sz w:val="24"/>
          <w:szCs w:val="24"/>
        </w:rPr>
        <w:t>, </w:t>
      </w:r>
      <w:hyperlink r:id="rId16" w:tooltip="Education" w:history="1">
        <w:r w:rsidRPr="006C49F1">
          <w:rPr>
            <w:rStyle w:val="Hyperlink"/>
            <w:rFonts w:ascii="Times New Roman" w:hAnsi="Times New Roman" w:cs="Times New Roman"/>
            <w:color w:val="auto"/>
            <w:sz w:val="24"/>
            <w:szCs w:val="24"/>
            <w:u w:val="none"/>
          </w:rPr>
          <w:t>education</w:t>
        </w:r>
      </w:hyperlink>
      <w:r w:rsidRPr="006C49F1">
        <w:rPr>
          <w:rFonts w:ascii="Times New Roman" w:hAnsi="Times New Roman" w:cs="Times New Roman"/>
          <w:sz w:val="24"/>
          <w:szCs w:val="24"/>
        </w:rPr>
        <w:t>, and </w:t>
      </w:r>
      <w:hyperlink r:id="rId17" w:tooltip="Infrastructure" w:history="1">
        <w:r w:rsidRPr="006C49F1">
          <w:rPr>
            <w:rStyle w:val="Hyperlink"/>
            <w:rFonts w:ascii="Times New Roman" w:hAnsi="Times New Roman" w:cs="Times New Roman"/>
            <w:color w:val="auto"/>
            <w:sz w:val="24"/>
            <w:szCs w:val="24"/>
            <w:u w:val="none"/>
          </w:rPr>
          <w:t>infrastructure</w:t>
        </w:r>
      </w:hyperlink>
      <w:r w:rsidRPr="006C49F1">
        <w:rPr>
          <w:rFonts w:ascii="Times New Roman" w:hAnsi="Times New Roman" w:cs="Times New Roman"/>
          <w:sz w:val="24"/>
          <w:szCs w:val="24"/>
        </w:rPr>
        <w:t> of a nation.</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Economic factors include </w:t>
      </w:r>
      <w:hyperlink r:id="rId18" w:tooltip="Economic growth" w:history="1">
        <w:r w:rsidRPr="006C49F1">
          <w:rPr>
            <w:rStyle w:val="Hyperlink"/>
            <w:rFonts w:ascii="Times New Roman" w:hAnsi="Times New Roman" w:cs="Times New Roman"/>
            <w:color w:val="auto"/>
            <w:sz w:val="24"/>
            <w:szCs w:val="24"/>
            <w:u w:val="none"/>
          </w:rPr>
          <w:t>economic growth</w:t>
        </w:r>
      </w:hyperlink>
      <w:r w:rsidRPr="006C49F1">
        <w:rPr>
          <w:rFonts w:ascii="Times New Roman" w:hAnsi="Times New Roman" w:cs="Times New Roman"/>
          <w:sz w:val="24"/>
          <w:szCs w:val="24"/>
        </w:rPr>
        <w:t>, </w:t>
      </w:r>
      <w:hyperlink r:id="rId19" w:tooltip="Exchange rate" w:history="1">
        <w:r w:rsidRPr="006C49F1">
          <w:rPr>
            <w:rStyle w:val="Hyperlink"/>
            <w:rFonts w:ascii="Times New Roman" w:hAnsi="Times New Roman" w:cs="Times New Roman"/>
            <w:color w:val="auto"/>
            <w:sz w:val="24"/>
            <w:szCs w:val="24"/>
            <w:u w:val="none"/>
          </w:rPr>
          <w:t>exchange rates</w:t>
        </w:r>
      </w:hyperlink>
      <w:r w:rsidRPr="006C49F1">
        <w:rPr>
          <w:rFonts w:ascii="Times New Roman" w:hAnsi="Times New Roman" w:cs="Times New Roman"/>
          <w:sz w:val="24"/>
          <w:szCs w:val="24"/>
        </w:rPr>
        <w:t>, </w:t>
      </w:r>
      <w:hyperlink r:id="rId20" w:tooltip="Inflation rate" w:history="1">
        <w:r w:rsidRPr="006C49F1">
          <w:rPr>
            <w:rStyle w:val="Hyperlink"/>
            <w:rFonts w:ascii="Times New Roman" w:hAnsi="Times New Roman" w:cs="Times New Roman"/>
            <w:color w:val="auto"/>
            <w:sz w:val="24"/>
            <w:szCs w:val="24"/>
            <w:u w:val="none"/>
          </w:rPr>
          <w:t>inflation rate</w:t>
        </w:r>
      </w:hyperlink>
      <w:r w:rsidRPr="006C49F1">
        <w:rPr>
          <w:rFonts w:ascii="Times New Roman" w:hAnsi="Times New Roman" w:cs="Times New Roman"/>
          <w:sz w:val="24"/>
          <w:szCs w:val="24"/>
        </w:rPr>
        <w:t>, and </w:t>
      </w:r>
      <w:hyperlink r:id="rId21" w:tooltip="Interest rate" w:history="1">
        <w:r w:rsidRPr="006C49F1">
          <w:rPr>
            <w:rStyle w:val="Hyperlink"/>
            <w:rFonts w:ascii="Times New Roman" w:hAnsi="Times New Roman" w:cs="Times New Roman"/>
            <w:color w:val="auto"/>
            <w:sz w:val="24"/>
            <w:szCs w:val="24"/>
            <w:u w:val="none"/>
          </w:rPr>
          <w:t>interest rates</w:t>
        </w:r>
      </w:hyperlink>
      <w:r w:rsidRPr="006C49F1">
        <w:rPr>
          <w:rFonts w:ascii="Times New Roman" w:hAnsi="Times New Roman" w:cs="Times New Roman"/>
          <w:sz w:val="24"/>
          <w:szCs w:val="24"/>
        </w:rPr>
        <w:t>. These factors greatly affect how businesses operate and make decisions. For example, interest rates affect a firm's </w:t>
      </w:r>
      <w:hyperlink r:id="rId22" w:tooltip="Cost of capital" w:history="1">
        <w:r w:rsidRPr="006C49F1">
          <w:rPr>
            <w:rStyle w:val="Hyperlink"/>
            <w:rFonts w:ascii="Times New Roman" w:hAnsi="Times New Roman" w:cs="Times New Roman"/>
            <w:color w:val="auto"/>
            <w:sz w:val="24"/>
            <w:szCs w:val="24"/>
            <w:u w:val="none"/>
          </w:rPr>
          <w:t>cost of capital</w:t>
        </w:r>
      </w:hyperlink>
      <w:r w:rsidRPr="006C49F1">
        <w:rPr>
          <w:rFonts w:ascii="Times New Roman" w:hAnsi="Times New Roman" w:cs="Times New Roman"/>
          <w:sz w:val="24"/>
          <w:szCs w:val="24"/>
        </w:rPr>
        <w:t> and therefore to what extent a business grows and expands. Exchange rates can affect the costs of exporting goods and the supply and price of imported goods in an economy.</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 xml:space="preserve">Social factors include the cultural aspects and health consciousness, population growth rate, age distribution, career attitudes and emphasis on safety. High trends in social factors affect the demand for a company's products and how that company operates. For example, the ageing population may imply a smaller and less-willing workforce (thus increasing the cost of </w:t>
      </w:r>
      <w:proofErr w:type="spellStart"/>
      <w:r w:rsidRPr="006C49F1">
        <w:rPr>
          <w:rFonts w:ascii="Times New Roman" w:hAnsi="Times New Roman" w:cs="Times New Roman"/>
          <w:sz w:val="24"/>
          <w:szCs w:val="24"/>
        </w:rPr>
        <w:t>labour</w:t>
      </w:r>
      <w:proofErr w:type="spellEnd"/>
      <w:r w:rsidRPr="006C49F1">
        <w:rPr>
          <w:rFonts w:ascii="Times New Roman" w:hAnsi="Times New Roman" w:cs="Times New Roman"/>
          <w:sz w:val="24"/>
          <w:szCs w:val="24"/>
        </w:rPr>
        <w:t>). Furthermore, companies may change various management strategies to adapt to social trends caused from this (such as recruiting older workers).</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Technological factors include technological aspects like </w:t>
      </w:r>
      <w:hyperlink r:id="rId23" w:tooltip="R&amp;D" w:history="1">
        <w:r w:rsidRPr="006C49F1">
          <w:rPr>
            <w:rStyle w:val="Hyperlink"/>
            <w:rFonts w:ascii="Times New Roman" w:hAnsi="Times New Roman" w:cs="Times New Roman"/>
            <w:color w:val="auto"/>
            <w:sz w:val="24"/>
            <w:szCs w:val="24"/>
            <w:u w:val="none"/>
          </w:rPr>
          <w:t>R&amp;D</w:t>
        </w:r>
      </w:hyperlink>
      <w:r w:rsidRPr="006C49F1">
        <w:rPr>
          <w:rFonts w:ascii="Times New Roman" w:hAnsi="Times New Roman" w:cs="Times New Roman"/>
          <w:sz w:val="24"/>
          <w:szCs w:val="24"/>
        </w:rPr>
        <w:t> activity, </w:t>
      </w:r>
      <w:hyperlink r:id="rId24" w:tooltip="Automation" w:history="1">
        <w:r w:rsidRPr="006C49F1">
          <w:rPr>
            <w:rStyle w:val="Hyperlink"/>
            <w:rFonts w:ascii="Times New Roman" w:hAnsi="Times New Roman" w:cs="Times New Roman"/>
            <w:color w:val="auto"/>
            <w:sz w:val="24"/>
            <w:szCs w:val="24"/>
            <w:u w:val="none"/>
          </w:rPr>
          <w:t>automation</w:t>
        </w:r>
      </w:hyperlink>
      <w:r w:rsidRPr="006C49F1">
        <w:rPr>
          <w:rFonts w:ascii="Times New Roman" w:hAnsi="Times New Roman" w:cs="Times New Roman"/>
          <w:sz w:val="24"/>
          <w:szCs w:val="24"/>
        </w:rPr>
        <w:t>, technology incentives and the rate of </w:t>
      </w:r>
      <w:hyperlink r:id="rId25" w:tooltip="Technological change" w:history="1">
        <w:r w:rsidRPr="006C49F1">
          <w:rPr>
            <w:rStyle w:val="Hyperlink"/>
            <w:rFonts w:ascii="Times New Roman" w:hAnsi="Times New Roman" w:cs="Times New Roman"/>
            <w:color w:val="auto"/>
            <w:sz w:val="24"/>
            <w:szCs w:val="24"/>
            <w:u w:val="none"/>
          </w:rPr>
          <w:t>technological change</w:t>
        </w:r>
      </w:hyperlink>
      <w:r w:rsidRPr="006C49F1">
        <w:rPr>
          <w:rFonts w:ascii="Times New Roman" w:hAnsi="Times New Roman" w:cs="Times New Roman"/>
          <w:sz w:val="24"/>
          <w:szCs w:val="24"/>
        </w:rPr>
        <w:t>. These can determine </w:t>
      </w:r>
      <w:hyperlink r:id="rId26" w:tooltip="Barrier to entry" w:history="1">
        <w:r w:rsidRPr="006C49F1">
          <w:rPr>
            <w:rStyle w:val="Hyperlink"/>
            <w:rFonts w:ascii="Times New Roman" w:hAnsi="Times New Roman" w:cs="Times New Roman"/>
            <w:color w:val="auto"/>
            <w:sz w:val="24"/>
            <w:szCs w:val="24"/>
            <w:u w:val="none"/>
          </w:rPr>
          <w:t>barriers to entry</w:t>
        </w:r>
      </w:hyperlink>
      <w:r w:rsidRPr="006C49F1">
        <w:rPr>
          <w:rFonts w:ascii="Times New Roman" w:hAnsi="Times New Roman" w:cs="Times New Roman"/>
          <w:sz w:val="24"/>
          <w:szCs w:val="24"/>
        </w:rPr>
        <w:t>, minimum efficient production level and influence the </w:t>
      </w:r>
      <w:hyperlink r:id="rId27" w:tooltip="Outsourcing" w:history="1">
        <w:r w:rsidRPr="006C49F1">
          <w:rPr>
            <w:rStyle w:val="Hyperlink"/>
            <w:rFonts w:ascii="Times New Roman" w:hAnsi="Times New Roman" w:cs="Times New Roman"/>
            <w:color w:val="auto"/>
            <w:sz w:val="24"/>
            <w:szCs w:val="24"/>
            <w:u w:val="none"/>
          </w:rPr>
          <w:t>outsourcing</w:t>
        </w:r>
      </w:hyperlink>
      <w:r w:rsidRPr="006C49F1">
        <w:rPr>
          <w:rFonts w:ascii="Times New Roman" w:hAnsi="Times New Roman" w:cs="Times New Roman"/>
          <w:sz w:val="24"/>
          <w:szCs w:val="24"/>
        </w:rPr>
        <w:t> decisions. Furthermore, technological shifts would affect costs, quality, and lead to </w:t>
      </w:r>
      <w:hyperlink r:id="rId28" w:tooltip="Innovation" w:history="1">
        <w:r w:rsidRPr="006C49F1">
          <w:rPr>
            <w:rStyle w:val="Hyperlink"/>
            <w:rFonts w:ascii="Times New Roman" w:hAnsi="Times New Roman" w:cs="Times New Roman"/>
            <w:color w:val="auto"/>
            <w:sz w:val="24"/>
            <w:szCs w:val="24"/>
            <w:u w:val="none"/>
          </w:rPr>
          <w:t>innovation</w:t>
        </w:r>
      </w:hyperlink>
      <w:r w:rsidRPr="006C49F1">
        <w:rPr>
          <w:rFonts w:ascii="Times New Roman" w:hAnsi="Times New Roman" w:cs="Times New Roman"/>
          <w:sz w:val="24"/>
          <w:szCs w:val="24"/>
        </w:rPr>
        <w:t>.</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Expanding the analysis to PESTLE or PESTEL adds:</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Legal factors include </w:t>
      </w:r>
      <w:hyperlink r:id="rId29" w:tooltip="Discrimination law" w:history="1">
        <w:r w:rsidRPr="006C49F1">
          <w:rPr>
            <w:rStyle w:val="Hyperlink"/>
            <w:rFonts w:ascii="Times New Roman" w:hAnsi="Times New Roman" w:cs="Times New Roman"/>
            <w:color w:val="auto"/>
            <w:sz w:val="24"/>
            <w:szCs w:val="24"/>
            <w:u w:val="none"/>
          </w:rPr>
          <w:t>discrimination law</w:t>
        </w:r>
      </w:hyperlink>
      <w:r w:rsidRPr="006C49F1">
        <w:rPr>
          <w:rFonts w:ascii="Times New Roman" w:hAnsi="Times New Roman" w:cs="Times New Roman"/>
          <w:sz w:val="24"/>
          <w:szCs w:val="24"/>
        </w:rPr>
        <w:t>, </w:t>
      </w:r>
      <w:hyperlink r:id="rId30" w:tooltip="Consumer law" w:history="1">
        <w:r w:rsidRPr="006C49F1">
          <w:rPr>
            <w:rStyle w:val="Hyperlink"/>
            <w:rFonts w:ascii="Times New Roman" w:hAnsi="Times New Roman" w:cs="Times New Roman"/>
            <w:color w:val="auto"/>
            <w:sz w:val="24"/>
            <w:szCs w:val="24"/>
            <w:u w:val="none"/>
          </w:rPr>
          <w:t>consumer law</w:t>
        </w:r>
      </w:hyperlink>
      <w:r w:rsidRPr="006C49F1">
        <w:rPr>
          <w:rFonts w:ascii="Times New Roman" w:hAnsi="Times New Roman" w:cs="Times New Roman"/>
          <w:sz w:val="24"/>
          <w:szCs w:val="24"/>
        </w:rPr>
        <w:t>, </w:t>
      </w:r>
      <w:hyperlink r:id="rId31" w:tooltip="Antitrust law" w:history="1">
        <w:r w:rsidRPr="006C49F1">
          <w:rPr>
            <w:rStyle w:val="Hyperlink"/>
            <w:rFonts w:ascii="Times New Roman" w:hAnsi="Times New Roman" w:cs="Times New Roman"/>
            <w:color w:val="auto"/>
            <w:sz w:val="24"/>
            <w:szCs w:val="24"/>
            <w:u w:val="none"/>
          </w:rPr>
          <w:t>antitrust law</w:t>
        </w:r>
      </w:hyperlink>
      <w:r w:rsidRPr="006C49F1">
        <w:rPr>
          <w:rFonts w:ascii="Times New Roman" w:hAnsi="Times New Roman" w:cs="Times New Roman"/>
          <w:sz w:val="24"/>
          <w:szCs w:val="24"/>
        </w:rPr>
        <w:t>, </w:t>
      </w:r>
      <w:hyperlink r:id="rId32" w:tooltip="Employment law" w:history="1">
        <w:r w:rsidRPr="006C49F1">
          <w:rPr>
            <w:rStyle w:val="Hyperlink"/>
            <w:rFonts w:ascii="Times New Roman" w:hAnsi="Times New Roman" w:cs="Times New Roman"/>
            <w:color w:val="auto"/>
            <w:sz w:val="24"/>
            <w:szCs w:val="24"/>
            <w:u w:val="none"/>
          </w:rPr>
          <w:t>employment law</w:t>
        </w:r>
      </w:hyperlink>
      <w:r w:rsidRPr="006C49F1">
        <w:rPr>
          <w:rFonts w:ascii="Times New Roman" w:hAnsi="Times New Roman" w:cs="Times New Roman"/>
          <w:sz w:val="24"/>
          <w:szCs w:val="24"/>
        </w:rPr>
        <w:t>, and </w:t>
      </w:r>
      <w:hyperlink r:id="rId33" w:tooltip="Health and safety law" w:history="1">
        <w:r w:rsidRPr="006C49F1">
          <w:rPr>
            <w:rStyle w:val="Hyperlink"/>
            <w:rFonts w:ascii="Times New Roman" w:hAnsi="Times New Roman" w:cs="Times New Roman"/>
            <w:color w:val="auto"/>
            <w:sz w:val="24"/>
            <w:szCs w:val="24"/>
            <w:u w:val="none"/>
          </w:rPr>
          <w:t>health and safety law</w:t>
        </w:r>
      </w:hyperlink>
      <w:r w:rsidRPr="006C49F1">
        <w:rPr>
          <w:rFonts w:ascii="Times New Roman" w:hAnsi="Times New Roman" w:cs="Times New Roman"/>
          <w:sz w:val="24"/>
          <w:szCs w:val="24"/>
        </w:rPr>
        <w:t>. These factors can affect how a company operates, its costs, and the demand for its products.</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lastRenderedPageBreak/>
        <w:t>Environmental factors include ecological and environmental aspects such as weather, climate, and </w:t>
      </w:r>
      <w:hyperlink r:id="rId34" w:tooltip="Climate change" w:history="1">
        <w:r w:rsidRPr="006C49F1">
          <w:rPr>
            <w:rStyle w:val="Hyperlink"/>
            <w:rFonts w:ascii="Times New Roman" w:hAnsi="Times New Roman" w:cs="Times New Roman"/>
            <w:color w:val="auto"/>
            <w:sz w:val="24"/>
            <w:szCs w:val="24"/>
            <w:u w:val="none"/>
          </w:rPr>
          <w:t>climate change</w:t>
        </w:r>
      </w:hyperlink>
      <w:r w:rsidRPr="006C49F1">
        <w:rPr>
          <w:rFonts w:ascii="Times New Roman" w:hAnsi="Times New Roman" w:cs="Times New Roman"/>
          <w:sz w:val="24"/>
          <w:szCs w:val="24"/>
        </w:rPr>
        <w:t>, which may especially affect industries such as tourism, farming, and insurance. Furthermore, growing awareness of the potential impacts of climate change is affecting how companies operate and the products they offer, both creating new markets and diminishing or destroying existing ones.</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Other factors for the various offshoots include:</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Demographic factors include gender, age, ethnicity, knowledge of languages, disabilities, mobility, home ownership, employment status, religious belief or practice, culture and tradition, living standards and income level.</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Regulatory factors include acts of parliament and associated regulations, international and national standards, local government by-laws, and mechanisms to monitor and ensure compliance with these.</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More factors discussed in the SPELIT Power Matrix include:</w:t>
      </w:r>
    </w:p>
    <w:p w:rsidR="006C49F1" w:rsidRPr="006C49F1" w:rsidRDefault="006C49F1" w:rsidP="006C49F1">
      <w:pPr>
        <w:jc w:val="both"/>
        <w:rPr>
          <w:rFonts w:ascii="Times New Roman" w:hAnsi="Times New Roman" w:cs="Times New Roman"/>
          <w:sz w:val="24"/>
          <w:szCs w:val="24"/>
        </w:rPr>
      </w:pPr>
      <w:proofErr w:type="gramStart"/>
      <w:r w:rsidRPr="006C49F1">
        <w:rPr>
          <w:rFonts w:ascii="Times New Roman" w:hAnsi="Times New Roman" w:cs="Times New Roman"/>
          <w:sz w:val="24"/>
          <w:szCs w:val="24"/>
        </w:rPr>
        <w:t>Inter-cultural factors considers</w:t>
      </w:r>
      <w:proofErr w:type="gramEnd"/>
      <w:r w:rsidRPr="006C49F1">
        <w:rPr>
          <w:rFonts w:ascii="Times New Roman" w:hAnsi="Times New Roman" w:cs="Times New Roman"/>
          <w:sz w:val="24"/>
          <w:szCs w:val="24"/>
        </w:rPr>
        <w:t xml:space="preserve"> collaboration in a global setting.</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Other specialized factors discussed in chapter 10 of the SPELIT Power Matrix include the Ethical, Educational, Physical, Religious, and Security environments. The security environment may include either personal, company, or national security.</w:t>
      </w:r>
    </w:p>
    <w:p w:rsidR="006C49F1" w:rsidRPr="006C49F1" w:rsidRDefault="006C49F1" w:rsidP="006C49F1">
      <w:pPr>
        <w:jc w:val="both"/>
        <w:rPr>
          <w:rFonts w:ascii="Times New Roman" w:hAnsi="Times New Roman" w:cs="Times New Roman"/>
          <w:sz w:val="24"/>
          <w:szCs w:val="24"/>
        </w:rPr>
      </w:pPr>
      <w:r w:rsidRPr="006C49F1">
        <w:rPr>
          <w:rFonts w:ascii="Times New Roman" w:hAnsi="Times New Roman" w:cs="Times New Roman"/>
          <w:sz w:val="24"/>
          <w:szCs w:val="24"/>
        </w:rPr>
        <w:t>Other business-related factors that might be considered in an environmental analysis include Competition, Demographics, Ecological, Geographical, Historical, Organizational, and Temporal</w:t>
      </w:r>
      <w:r>
        <w:rPr>
          <w:rFonts w:ascii="Times New Roman" w:hAnsi="Times New Roman" w:cs="Times New Roman"/>
          <w:sz w:val="24"/>
          <w:szCs w:val="24"/>
        </w:rPr>
        <w:t>.</w:t>
      </w:r>
      <w:r w:rsidRPr="006C49F1">
        <w:rPr>
          <w:rFonts w:ascii="Times New Roman" w:hAnsi="Times New Roman" w:cs="Times New Roman"/>
          <w:sz w:val="24"/>
          <w:szCs w:val="24"/>
        </w:rPr>
        <w:t xml:space="preserve"> </w:t>
      </w:r>
    </w:p>
    <w:p w:rsidR="006C49F1" w:rsidRPr="006C49F1" w:rsidRDefault="006C49F1" w:rsidP="006C49F1">
      <w:pPr>
        <w:jc w:val="both"/>
        <w:rPr>
          <w:rFonts w:ascii="Times New Roman" w:hAnsi="Times New Roman" w:cs="Times New Roman"/>
          <w:sz w:val="24"/>
          <w:szCs w:val="24"/>
        </w:rPr>
      </w:pPr>
    </w:p>
    <w:sectPr w:rsidR="006C49F1" w:rsidRPr="006C49F1" w:rsidSect="00293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AEB"/>
    <w:multiLevelType w:val="multilevel"/>
    <w:tmpl w:val="7C78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C5073"/>
    <w:multiLevelType w:val="multilevel"/>
    <w:tmpl w:val="3EB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541C7"/>
    <w:multiLevelType w:val="multilevel"/>
    <w:tmpl w:val="48E4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B22B4"/>
    <w:multiLevelType w:val="multilevel"/>
    <w:tmpl w:val="107C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C49F1"/>
    <w:rsid w:val="00293B61"/>
    <w:rsid w:val="006C4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9F1"/>
    <w:rPr>
      <w:color w:val="0000FF"/>
      <w:u w:val="single"/>
    </w:rPr>
  </w:style>
  <w:style w:type="paragraph" w:styleId="NormalWeb">
    <w:name w:val="Normal (Web)"/>
    <w:basedOn w:val="Normal"/>
    <w:uiPriority w:val="99"/>
    <w:semiHidden/>
    <w:unhideWhenUsed/>
    <w:rsid w:val="006C49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18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vernment" TargetMode="External"/><Relationship Id="rId13" Type="http://schemas.openxmlformats.org/officeDocument/2006/relationships/hyperlink" Target="https://en.wikipedia.org/wiki/Merit_good" TargetMode="External"/><Relationship Id="rId18" Type="http://schemas.openxmlformats.org/officeDocument/2006/relationships/hyperlink" Target="https://en.wikipedia.org/wiki/Economic_growth" TargetMode="External"/><Relationship Id="rId26" Type="http://schemas.openxmlformats.org/officeDocument/2006/relationships/hyperlink" Target="https://en.wikipedia.org/wiki/Barrier_to_entry" TargetMode="External"/><Relationship Id="rId3" Type="http://schemas.openxmlformats.org/officeDocument/2006/relationships/settings" Target="settings.xml"/><Relationship Id="rId21" Type="http://schemas.openxmlformats.org/officeDocument/2006/relationships/hyperlink" Target="https://en.wikipedia.org/wiki/Interest_rate" TargetMode="External"/><Relationship Id="rId34" Type="http://schemas.openxmlformats.org/officeDocument/2006/relationships/hyperlink" Target="https://en.wikipedia.org/wiki/Climate_change" TargetMode="External"/><Relationship Id="rId7" Type="http://schemas.openxmlformats.org/officeDocument/2006/relationships/hyperlink" Target="https://en.wikipedia.org/wiki/Market_research" TargetMode="External"/><Relationship Id="rId12" Type="http://schemas.openxmlformats.org/officeDocument/2006/relationships/hyperlink" Target="https://en.wikipedia.org/wiki/Tariffs" TargetMode="External"/><Relationship Id="rId17" Type="http://schemas.openxmlformats.org/officeDocument/2006/relationships/hyperlink" Target="https://en.wikipedia.org/wiki/Infrastructure" TargetMode="External"/><Relationship Id="rId25" Type="http://schemas.openxmlformats.org/officeDocument/2006/relationships/hyperlink" Target="https://en.wikipedia.org/wiki/Technological_change" TargetMode="External"/><Relationship Id="rId33" Type="http://schemas.openxmlformats.org/officeDocument/2006/relationships/hyperlink" Target="https://en.wikipedia.org/wiki/Health_and_safety_law" TargetMode="External"/><Relationship Id="rId2" Type="http://schemas.openxmlformats.org/officeDocument/2006/relationships/styles" Target="styles.xml"/><Relationship Id="rId16" Type="http://schemas.openxmlformats.org/officeDocument/2006/relationships/hyperlink" Target="https://en.wikipedia.org/wiki/Education" TargetMode="External"/><Relationship Id="rId20" Type="http://schemas.openxmlformats.org/officeDocument/2006/relationships/hyperlink" Target="https://en.wikipedia.org/wiki/Inflation_rate" TargetMode="External"/><Relationship Id="rId29" Type="http://schemas.openxmlformats.org/officeDocument/2006/relationships/hyperlink" Target="https://en.wikipedia.org/wiki/Discrimination_law" TargetMode="External"/><Relationship Id="rId1" Type="http://schemas.openxmlformats.org/officeDocument/2006/relationships/numbering" Target="numbering.xml"/><Relationship Id="rId6" Type="http://schemas.openxmlformats.org/officeDocument/2006/relationships/hyperlink" Target="https://en.wikipedia.org/wiki/Strategic_management" TargetMode="External"/><Relationship Id="rId11" Type="http://schemas.openxmlformats.org/officeDocument/2006/relationships/hyperlink" Target="https://en.wikipedia.org/wiki/Trade_restriction" TargetMode="External"/><Relationship Id="rId24" Type="http://schemas.openxmlformats.org/officeDocument/2006/relationships/hyperlink" Target="https://en.wikipedia.org/wiki/Automation" TargetMode="External"/><Relationship Id="rId32" Type="http://schemas.openxmlformats.org/officeDocument/2006/relationships/hyperlink" Target="https://en.wikipedia.org/wiki/Employment_law" TargetMode="External"/><Relationship Id="rId5" Type="http://schemas.openxmlformats.org/officeDocument/2006/relationships/hyperlink" Target="https://en.wikipedia.org/wiki/Environmental_scanning" TargetMode="External"/><Relationship Id="rId15" Type="http://schemas.openxmlformats.org/officeDocument/2006/relationships/hyperlink" Target="https://en.wikipedia.org/wiki/Health" TargetMode="External"/><Relationship Id="rId23" Type="http://schemas.openxmlformats.org/officeDocument/2006/relationships/hyperlink" Target="https://en.wikipedia.org/wiki/R%26D" TargetMode="External"/><Relationship Id="rId28" Type="http://schemas.openxmlformats.org/officeDocument/2006/relationships/hyperlink" Target="https://en.wikipedia.org/wiki/Innovation" TargetMode="External"/><Relationship Id="rId36" Type="http://schemas.openxmlformats.org/officeDocument/2006/relationships/theme" Target="theme/theme1.xml"/><Relationship Id="rId10" Type="http://schemas.openxmlformats.org/officeDocument/2006/relationships/hyperlink" Target="https://en.wikipedia.org/wiki/Environmental_law" TargetMode="External"/><Relationship Id="rId19" Type="http://schemas.openxmlformats.org/officeDocument/2006/relationships/hyperlink" Target="https://en.wikipedia.org/wiki/Exchange_rate" TargetMode="External"/><Relationship Id="rId31" Type="http://schemas.openxmlformats.org/officeDocument/2006/relationships/hyperlink" Target="https://en.wikipedia.org/wiki/Antitrust_law" TargetMode="External"/><Relationship Id="rId4" Type="http://schemas.openxmlformats.org/officeDocument/2006/relationships/webSettings" Target="webSettings.xml"/><Relationship Id="rId9" Type="http://schemas.openxmlformats.org/officeDocument/2006/relationships/hyperlink" Target="https://en.wikipedia.org/wiki/Tax_policy" TargetMode="External"/><Relationship Id="rId14" Type="http://schemas.openxmlformats.org/officeDocument/2006/relationships/hyperlink" Target="https://en.wikipedia.org/wiki/Demerit_good" TargetMode="External"/><Relationship Id="rId22" Type="http://schemas.openxmlformats.org/officeDocument/2006/relationships/hyperlink" Target="https://en.wikipedia.org/wiki/Cost_of_capital" TargetMode="External"/><Relationship Id="rId27" Type="http://schemas.openxmlformats.org/officeDocument/2006/relationships/hyperlink" Target="https://en.wikipedia.org/wiki/Outsourcing" TargetMode="External"/><Relationship Id="rId30" Type="http://schemas.openxmlformats.org/officeDocument/2006/relationships/hyperlink" Target="https://en.wikipedia.org/wiki/Consumer_la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zaeem yasin</dc:creator>
  <cp:lastModifiedBy>zaeem yasin</cp:lastModifiedBy>
  <cp:revision>1</cp:revision>
  <dcterms:created xsi:type="dcterms:W3CDTF">2020-05-04T20:39:00Z</dcterms:created>
  <dcterms:modified xsi:type="dcterms:W3CDTF">2020-05-04T20:41:00Z</dcterms:modified>
</cp:coreProperties>
</file>